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C0723F1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3EF2E8F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C0901" w:rsidRPr="006C0901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0634BE" w:rsidRPr="00F87C5C">
        <w:rPr>
          <w:b/>
          <w:sz w:val="14"/>
          <w:szCs w:val="14"/>
        </w:rPr>
        <w:t>Contabilidad</w:t>
      </w:r>
    </w:p>
    <w:p w14:paraId="64E9A473" w14:textId="77777777" w:rsidR="001F2D5B" w:rsidRPr="00F50B44" w:rsidRDefault="001F2D5B" w:rsidP="001F2D5B">
      <w:permStart w:id="958333572" w:edGrp="everyone"/>
      <w:r w:rsidRPr="001F2D5B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958333572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BF1DBD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BF1DBD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11639962" w:edGrp="everyone" w:colFirst="16" w:colLast="16"/>
            <w:permStart w:id="1368545381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458754448" w:edGrp="everyone" w:colFirst="16" w:colLast="16"/>
            <w:permStart w:id="1009784337" w:edGrp="everyone" w:colFirst="13" w:colLast="13"/>
            <w:permEnd w:id="511639962"/>
            <w:permEnd w:id="136854538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98439003" w:edGrp="everyone" w:colFirst="16" w:colLast="16"/>
            <w:permStart w:id="109724282" w:edGrp="everyone" w:colFirst="13" w:colLast="13"/>
            <w:permEnd w:id="458754448"/>
            <w:permEnd w:id="100978433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91398608" w:edGrp="everyone" w:colFirst="16" w:colLast="16"/>
            <w:permStart w:id="943195901" w:edGrp="everyone" w:colFirst="13" w:colLast="13"/>
            <w:permEnd w:id="1598439003"/>
            <w:permEnd w:id="10972428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991398608"/>
      <w:permEnd w:id="943195901"/>
      <w:tr w:rsidR="000634BE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7ECB4B4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Administración de organizaciones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EDD19EF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Contabilidad de costos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2338B6AD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Cálculo de nómina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1C4BDF3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Impuestos I</w:t>
            </w:r>
            <w:r w:rsidR="007A33C4" w:rsidRPr="0084041B">
              <w:rPr>
                <w:color w:val="000000"/>
                <w:sz w:val="14"/>
                <w:szCs w:val="14"/>
                <w:lang w:eastAsia="es-MX"/>
              </w:rPr>
              <w:t>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6</w:t>
            </w:r>
          </w:p>
        </w:tc>
      </w:tr>
      <w:tr w:rsidR="000634BE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542E09E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Registro de operaciones contables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5A13A35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 xml:space="preserve">Registro de mercancías 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415E3197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Impuestos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3B7E87A" w:rsidR="000634BE" w:rsidRPr="0084041B" w:rsidRDefault="000634BE" w:rsidP="000634BE">
            <w:pPr>
              <w:jc w:val="center"/>
              <w:rPr>
                <w:sz w:val="14"/>
                <w:szCs w:val="14"/>
              </w:rPr>
            </w:pPr>
            <w:r w:rsidRPr="0084041B">
              <w:rPr>
                <w:color w:val="000000"/>
                <w:sz w:val="14"/>
                <w:szCs w:val="14"/>
                <w:lang w:eastAsia="es-MX"/>
              </w:rPr>
              <w:t>Desarrollo empresarial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0634BE" w:rsidRPr="0084041B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0634BE" w:rsidRPr="0084041B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4041B">
              <w:rPr>
                <w:sz w:val="14"/>
                <w:szCs w:val="14"/>
              </w:rPr>
              <w:t>8</w:t>
            </w:r>
          </w:p>
        </w:tc>
      </w:tr>
      <w:tr w:rsidR="000634BE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63425585" w:rsidR="000634BE" w:rsidRPr="00E70F91" w:rsidRDefault="000634BE" w:rsidP="000634BE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0634BE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0634BE" w:rsidRPr="00E70F91" w:rsidRDefault="000634BE" w:rsidP="000634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0634BE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0634BE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0634BE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0634BE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0634BE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0634BE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0634BE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0634BE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0634BE" w:rsidRPr="00E70F91" w:rsidRDefault="000634BE" w:rsidP="000634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0634BE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0634BE" w:rsidRPr="00E70F91" w:rsidRDefault="000634BE" w:rsidP="000634B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0634BE" w:rsidRPr="00E70F91" w:rsidRDefault="000634BE" w:rsidP="000634B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94D0D6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0BA35D2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CF981D0" w14:textId="77777777" w:rsidR="001F2D5B" w:rsidRDefault="001F2D5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EDB535B" w14:textId="77777777" w:rsidR="00BF1DBD" w:rsidRDefault="00BF1DB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B11CF50" w14:textId="77777777" w:rsidR="001F2D5B" w:rsidRDefault="001F2D5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DDE312D" w14:textId="77777777" w:rsidR="001F2D5B" w:rsidRDefault="001F2D5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0DC78B0" w14:textId="2FD06719" w:rsidR="001F2D5B" w:rsidRPr="001F2D5B" w:rsidRDefault="001F2D5B" w:rsidP="001F2D5B">
      <w:pPr>
        <w:rPr>
          <w:sz w:val="16"/>
          <w:szCs w:val="16"/>
        </w:rPr>
      </w:pPr>
      <w:permStart w:id="868896790" w:edGrp="everyone"/>
      <w:r>
        <w:rPr>
          <w:sz w:val="16"/>
          <w:szCs w:val="16"/>
        </w:rPr>
        <w:t xml:space="preserve">                                     </w:t>
      </w:r>
      <w:bookmarkStart w:id="5" w:name="_Hlk173752446"/>
      <w:r w:rsidRPr="001F2D5B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</w:t>
      </w:r>
      <w:r w:rsidR="00BF1DBD" w:rsidRPr="00AF16AB">
        <w:rPr>
          <w:b/>
          <w:bCs/>
          <w:sz w:val="16"/>
          <w:szCs w:val="16"/>
        </w:rPr>
        <w:t>JORGE ALEJANDRO RANGEL SANDOVAL</w:t>
      </w:r>
    </w:p>
    <w:p w14:paraId="250EB59B" w14:textId="6AA38AFE" w:rsidR="001F2D5B" w:rsidRPr="001F2D5B" w:rsidRDefault="00BF1DBD" w:rsidP="001F2D5B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EA981" wp14:editId="3F55F10D">
                <wp:simplePos x="0" y="0"/>
                <wp:positionH relativeFrom="column">
                  <wp:posOffset>6162011</wp:posOffset>
                </wp:positionH>
                <wp:positionV relativeFrom="paragraph">
                  <wp:posOffset>66040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9FB7A" w14:textId="77777777" w:rsidR="00DC008F" w:rsidRPr="00AF16AB" w:rsidRDefault="00DC008F" w:rsidP="00DC008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547571132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30DAF5B2" w14:textId="77777777" w:rsidR="00BF1DBD" w:rsidRPr="002D7AD8" w:rsidRDefault="00BF1DBD" w:rsidP="00BF1DBD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5475711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A9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5.2pt;margin-top:5.2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HYtRELhAAAACwEAAA8AAAAAAAAAAAAAAAAAcgQAAGRycy9kb3ducmV2LnhtbFBL&#10;BQYAAAAABAAEAPMAAACABQAAAAA=&#10;" filled="f" stroked="f" strokeweight=".5pt">
                <v:textbox>
                  <w:txbxContent>
                    <w:p w14:paraId="3629FB7A" w14:textId="77777777" w:rsidR="00DC008F" w:rsidRPr="00AF16AB" w:rsidRDefault="00DC008F" w:rsidP="00DC008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547571132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30DAF5B2" w14:textId="77777777" w:rsidR="00BF1DBD" w:rsidRPr="002D7AD8" w:rsidRDefault="00BF1DBD" w:rsidP="00BF1DBD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547571132"/>
                    </w:p>
                  </w:txbxContent>
                </v:textbox>
              </v:shape>
            </w:pict>
          </mc:Fallback>
        </mc:AlternateContent>
      </w:r>
      <w:r w:rsidR="001F2D5B" w:rsidRPr="001F2D5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33C70" wp14:editId="7F323E9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46B92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F2D5B" w:rsidRPr="001F2D5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7557C" wp14:editId="59B745FE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1885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51A5D6B9" w14:textId="618FF47F" w:rsidR="006C0901" w:rsidRPr="00384B03" w:rsidRDefault="006C0901" w:rsidP="006C090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</w:t>
      </w:r>
    </w:p>
    <w:permEnd w:id="868896790"/>
    <w:p w14:paraId="76CF116D" w14:textId="77777777" w:rsidR="001F2D5B" w:rsidRPr="001A23FA" w:rsidRDefault="001F2D5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1F2D5B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E4EF" w14:textId="77777777" w:rsidR="00BE0379" w:rsidRDefault="00BE0379" w:rsidP="00127AAC">
      <w:r>
        <w:separator/>
      </w:r>
    </w:p>
  </w:endnote>
  <w:endnote w:type="continuationSeparator" w:id="0">
    <w:p w14:paraId="0742D11E" w14:textId="77777777" w:rsidR="00BE0379" w:rsidRDefault="00BE0379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6FB738F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BF1DB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6FB738F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BF1DBD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1E29" w14:textId="77777777" w:rsidR="00BE0379" w:rsidRDefault="00BE0379" w:rsidP="00127AAC">
      <w:r>
        <w:separator/>
      </w:r>
    </w:p>
  </w:footnote>
  <w:footnote w:type="continuationSeparator" w:id="0">
    <w:p w14:paraId="6CABC696" w14:textId="77777777" w:rsidR="00BE0379" w:rsidRDefault="00BE0379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qQMphZqA15yeRO/Y3CrMpUX/sfl6v/OSSJBJbAV/66jWnGUnYy+7gSCtvpHri4v1rh0vDR5aqLCD/nhOq/1O/w==" w:salt="bmOrH3bZpKlF1LlQP2pM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4BE"/>
    <w:rsid w:val="00063C58"/>
    <w:rsid w:val="00064A89"/>
    <w:rsid w:val="0006567F"/>
    <w:rsid w:val="00073CBC"/>
    <w:rsid w:val="00075404"/>
    <w:rsid w:val="00076416"/>
    <w:rsid w:val="00082D56"/>
    <w:rsid w:val="00084570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60C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301A"/>
    <w:rsid w:val="001C7776"/>
    <w:rsid w:val="001D12FC"/>
    <w:rsid w:val="001D147F"/>
    <w:rsid w:val="001E304E"/>
    <w:rsid w:val="001E3F45"/>
    <w:rsid w:val="001F2D5B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C1A6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2536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2E43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27B8"/>
    <w:rsid w:val="00641045"/>
    <w:rsid w:val="006540BD"/>
    <w:rsid w:val="00656CC9"/>
    <w:rsid w:val="006738C7"/>
    <w:rsid w:val="006824AB"/>
    <w:rsid w:val="00683768"/>
    <w:rsid w:val="00686958"/>
    <w:rsid w:val="006A1931"/>
    <w:rsid w:val="006A67AD"/>
    <w:rsid w:val="006B1D01"/>
    <w:rsid w:val="006C0901"/>
    <w:rsid w:val="006C1C50"/>
    <w:rsid w:val="006C30DC"/>
    <w:rsid w:val="006C3212"/>
    <w:rsid w:val="006E08A2"/>
    <w:rsid w:val="006E2A3A"/>
    <w:rsid w:val="006F410D"/>
    <w:rsid w:val="00710975"/>
    <w:rsid w:val="00711755"/>
    <w:rsid w:val="00716DC7"/>
    <w:rsid w:val="007208CD"/>
    <w:rsid w:val="007618C2"/>
    <w:rsid w:val="0076399E"/>
    <w:rsid w:val="00764511"/>
    <w:rsid w:val="007857D3"/>
    <w:rsid w:val="00785D24"/>
    <w:rsid w:val="00791F86"/>
    <w:rsid w:val="007927BD"/>
    <w:rsid w:val="007A33C4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041B"/>
    <w:rsid w:val="00843122"/>
    <w:rsid w:val="008454EC"/>
    <w:rsid w:val="00847227"/>
    <w:rsid w:val="00852F54"/>
    <w:rsid w:val="008613C8"/>
    <w:rsid w:val="00884D8F"/>
    <w:rsid w:val="00885390"/>
    <w:rsid w:val="008864D4"/>
    <w:rsid w:val="00891F3F"/>
    <w:rsid w:val="0089214D"/>
    <w:rsid w:val="0089341C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398E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73D5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A782D"/>
    <w:rsid w:val="00BB3576"/>
    <w:rsid w:val="00BB368E"/>
    <w:rsid w:val="00BB3C65"/>
    <w:rsid w:val="00BB4F92"/>
    <w:rsid w:val="00BC0505"/>
    <w:rsid w:val="00BD1ED4"/>
    <w:rsid w:val="00BD719B"/>
    <w:rsid w:val="00BE0379"/>
    <w:rsid w:val="00BE3928"/>
    <w:rsid w:val="00BF1DBD"/>
    <w:rsid w:val="00BF477B"/>
    <w:rsid w:val="00C028C6"/>
    <w:rsid w:val="00C04E5C"/>
    <w:rsid w:val="00C13BFD"/>
    <w:rsid w:val="00C24472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008F"/>
    <w:rsid w:val="00DC3C41"/>
    <w:rsid w:val="00DC5EBD"/>
    <w:rsid w:val="00DC6078"/>
    <w:rsid w:val="00DD1F5E"/>
    <w:rsid w:val="00DF13EA"/>
    <w:rsid w:val="00DF6DA9"/>
    <w:rsid w:val="00E049DF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86521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87C5C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BF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84570"/>
    <w:rsid w:val="00254CC4"/>
    <w:rsid w:val="00312EE5"/>
    <w:rsid w:val="00352536"/>
    <w:rsid w:val="00445167"/>
    <w:rsid w:val="004A7E34"/>
    <w:rsid w:val="005B2E43"/>
    <w:rsid w:val="00630048"/>
    <w:rsid w:val="006E09A4"/>
    <w:rsid w:val="00980411"/>
    <w:rsid w:val="009B32AC"/>
    <w:rsid w:val="009D76DF"/>
    <w:rsid w:val="00BF16C0"/>
    <w:rsid w:val="00D24585"/>
    <w:rsid w:val="00DA1419"/>
    <w:rsid w:val="00E049DF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5187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2025-02-27T18:34:00Z</dcterms:created>
  <dcterms:modified xsi:type="dcterms:W3CDTF">2025-03-03T16:52:00Z</dcterms:modified>
</cp:coreProperties>
</file>